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FB2" w:rsidRDefault="004B4FB2" w:rsidP="004B4FB2">
      <w:pPr>
        <w:pStyle w:val="paragraphe"/>
        <w:tabs>
          <w:tab w:val="left" w:pos="4536"/>
        </w:tabs>
        <w:spacing w:before="0"/>
        <w:jc w:val="center"/>
        <w:rPr>
          <w:rFonts w:ascii="Cambria" w:hAnsi="Cambria" w:cs="Arial"/>
          <w:b/>
          <w:sz w:val="36"/>
          <w:szCs w:val="36"/>
          <w:lang w:val="fr-CA"/>
        </w:rPr>
      </w:pPr>
    </w:p>
    <w:p w:rsidR="004B4FB2" w:rsidRDefault="004B4FB2" w:rsidP="004B4FB2">
      <w:pPr>
        <w:pStyle w:val="paragraphe"/>
        <w:tabs>
          <w:tab w:val="left" w:pos="4536"/>
        </w:tabs>
        <w:spacing w:before="0"/>
        <w:jc w:val="center"/>
        <w:rPr>
          <w:rFonts w:ascii="Cambria" w:hAnsi="Cambria" w:cs="Arial"/>
          <w:b/>
          <w:sz w:val="36"/>
          <w:szCs w:val="36"/>
          <w:lang w:val="fr-CA"/>
        </w:rPr>
      </w:pPr>
    </w:p>
    <w:p w:rsidR="004B4FB2" w:rsidRDefault="004B4FB2" w:rsidP="004B4FB2">
      <w:pPr>
        <w:pStyle w:val="paragraphe"/>
        <w:tabs>
          <w:tab w:val="left" w:pos="4536"/>
        </w:tabs>
        <w:spacing w:before="0"/>
        <w:jc w:val="center"/>
        <w:rPr>
          <w:rFonts w:ascii="Cambria" w:hAnsi="Cambria" w:cs="Arial"/>
          <w:szCs w:val="24"/>
          <w:lang w:val="fr-CA"/>
        </w:rPr>
      </w:pPr>
      <w:r>
        <w:rPr>
          <w:rFonts w:ascii="Cambria" w:hAnsi="Cambria" w:cs="Arial"/>
          <w:b/>
          <w:sz w:val="36"/>
          <w:szCs w:val="36"/>
          <w:lang w:val="fr-CA"/>
        </w:rPr>
        <w:t>ANNEXE 1</w:t>
      </w:r>
    </w:p>
    <w:p w:rsidR="004B4FB2" w:rsidRDefault="004B4FB2" w:rsidP="004B4FB2">
      <w:pPr>
        <w:pStyle w:val="paragraphe"/>
        <w:tabs>
          <w:tab w:val="left" w:pos="4253"/>
        </w:tabs>
        <w:spacing w:before="0"/>
        <w:rPr>
          <w:rFonts w:ascii="Cambria" w:hAnsi="Cambria" w:cs="Arial"/>
          <w:szCs w:val="24"/>
          <w:lang w:val="fr-CA"/>
        </w:rPr>
      </w:pPr>
    </w:p>
    <w:p w:rsidR="004B4FB2" w:rsidRDefault="004B4FB2" w:rsidP="004B4FB2">
      <w:pPr>
        <w:pStyle w:val="paragraphe"/>
        <w:tabs>
          <w:tab w:val="left" w:pos="4253"/>
        </w:tabs>
        <w:spacing w:before="0"/>
        <w:rPr>
          <w:rFonts w:ascii="Cambria" w:hAnsi="Cambria" w:cs="Arial"/>
          <w:szCs w:val="24"/>
          <w:lang w:val="fr-CA"/>
        </w:rPr>
      </w:pPr>
    </w:p>
    <w:p w:rsidR="004B4FB2" w:rsidRDefault="004B4FB2" w:rsidP="004B4FB2">
      <w:pPr>
        <w:pStyle w:val="paragraphe"/>
        <w:tabs>
          <w:tab w:val="left" w:pos="4253"/>
        </w:tabs>
        <w:spacing w:before="0"/>
        <w:jc w:val="center"/>
        <w:rPr>
          <w:rFonts w:ascii="Cambria" w:hAnsi="Cambria" w:cs="Arial"/>
          <w:b/>
          <w:szCs w:val="24"/>
          <w:lang w:val="fr-CA"/>
        </w:rPr>
      </w:pPr>
      <w:r>
        <w:rPr>
          <w:rFonts w:ascii="Cambria" w:hAnsi="Cambria" w:cs="Arial"/>
          <w:b/>
          <w:szCs w:val="24"/>
          <w:lang w:val="fr-CA"/>
        </w:rPr>
        <w:t>DOCUMENT D’INFORMATION</w:t>
      </w:r>
    </w:p>
    <w:p w:rsidR="004B4FB2" w:rsidRDefault="004B4FB2" w:rsidP="004B4FB2">
      <w:pPr>
        <w:pStyle w:val="paragraphe"/>
        <w:tabs>
          <w:tab w:val="left" w:pos="4253"/>
        </w:tabs>
        <w:spacing w:before="0"/>
        <w:jc w:val="center"/>
        <w:rPr>
          <w:rFonts w:ascii="Cambria" w:hAnsi="Cambria" w:cs="Arial"/>
          <w:b/>
          <w:szCs w:val="24"/>
          <w:lang w:val="fr-CA"/>
        </w:rPr>
      </w:pPr>
      <w:r>
        <w:rPr>
          <w:rFonts w:ascii="Cambria" w:hAnsi="Cambria" w:cs="Arial"/>
          <w:b/>
          <w:szCs w:val="24"/>
          <w:lang w:val="fr-CA"/>
        </w:rPr>
        <w:t>(Gestion contractuelle)</w:t>
      </w:r>
    </w:p>
    <w:p w:rsidR="004B4FB2" w:rsidRDefault="004B4FB2" w:rsidP="004B4FB2">
      <w:pPr>
        <w:pStyle w:val="paragraphe"/>
        <w:tabs>
          <w:tab w:val="left" w:pos="4253"/>
        </w:tabs>
        <w:spacing w:before="0"/>
        <w:jc w:val="center"/>
        <w:rPr>
          <w:rFonts w:ascii="Cambria" w:hAnsi="Cambria" w:cs="Arial"/>
          <w:i/>
          <w:szCs w:val="24"/>
          <w:lang w:val="fr-CA"/>
        </w:rPr>
      </w:pPr>
      <w:r>
        <w:rPr>
          <w:rFonts w:ascii="Cambria" w:hAnsi="Cambria" w:cs="Arial"/>
          <w:i/>
          <w:szCs w:val="24"/>
          <w:lang w:val="fr-CA"/>
        </w:rPr>
        <w:t>(Article 13 du règlement numéro 2019-386   sur la gestion contractuelle)</w:t>
      </w:r>
    </w:p>
    <w:p w:rsidR="004B4FB2" w:rsidRDefault="004B4FB2" w:rsidP="004B4FB2">
      <w:pPr>
        <w:pStyle w:val="paragraphe"/>
        <w:tabs>
          <w:tab w:val="left" w:pos="4253"/>
        </w:tabs>
        <w:spacing w:before="0"/>
        <w:rPr>
          <w:rFonts w:ascii="Cambria" w:hAnsi="Cambria" w:cs="Arial"/>
          <w:szCs w:val="24"/>
          <w:lang w:val="fr-CA"/>
        </w:rPr>
      </w:pPr>
    </w:p>
    <w:p w:rsidR="004B4FB2" w:rsidRDefault="004B4FB2" w:rsidP="004B4FB2">
      <w:pPr>
        <w:pStyle w:val="paragraphe"/>
        <w:tabs>
          <w:tab w:val="left" w:pos="4253"/>
        </w:tabs>
        <w:spacing w:before="0"/>
        <w:rPr>
          <w:rFonts w:ascii="Cambria" w:hAnsi="Cambria" w:cs="Arial"/>
          <w:szCs w:val="24"/>
          <w:lang w:val="fr-CA"/>
        </w:rPr>
      </w:pPr>
    </w:p>
    <w:p w:rsidR="004B4FB2" w:rsidRDefault="004B4FB2" w:rsidP="004B4FB2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La Municipalité a adopté un Règlement sur la gestion contractuelle prévoyant des mesures visant à :</w:t>
      </w:r>
    </w:p>
    <w:p w:rsidR="004B4FB2" w:rsidRPr="004B4FB2" w:rsidRDefault="004B4FB2" w:rsidP="004B4FB2">
      <w:pPr>
        <w:pStyle w:val="ListParagraph"/>
        <w:numPr>
          <w:ilvl w:val="0"/>
          <w:numId w:val="3"/>
        </w:numPr>
        <w:spacing w:before="200"/>
        <w:ind w:left="567" w:hanging="567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favoriser le respect des lois applicables qui visent à lutter contre le truquage des offres;</w:t>
      </w:r>
    </w:p>
    <w:p w:rsidR="004B4FB2" w:rsidRDefault="004B4FB2" w:rsidP="004B4FB2">
      <w:pPr>
        <w:pStyle w:val="ListParagraph"/>
        <w:numPr>
          <w:ilvl w:val="0"/>
          <w:numId w:val="3"/>
        </w:numPr>
        <w:spacing w:before="200"/>
        <w:ind w:left="567" w:hanging="567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 xml:space="preserve">assurer le respect de la </w:t>
      </w:r>
      <w:r>
        <w:rPr>
          <w:rFonts w:ascii="Cambria" w:hAnsi="Cambria"/>
          <w:i/>
        </w:rPr>
        <w:t xml:space="preserve">Loi sur la transparence et l’éthique en matière de </w:t>
      </w:r>
      <w:proofErr w:type="spellStart"/>
      <w:r>
        <w:rPr>
          <w:rFonts w:ascii="Cambria" w:hAnsi="Cambria"/>
          <w:i/>
        </w:rPr>
        <w:t>lobbyisme</w:t>
      </w:r>
      <w:proofErr w:type="spellEnd"/>
      <w:r>
        <w:rPr>
          <w:rFonts w:ascii="Cambria" w:hAnsi="Cambria"/>
        </w:rPr>
        <w:t xml:space="preserve"> et du </w:t>
      </w:r>
      <w:r>
        <w:rPr>
          <w:rFonts w:ascii="Cambria" w:hAnsi="Cambria"/>
          <w:i/>
        </w:rPr>
        <w:t>Code de déontologie des lobbyistes</w:t>
      </w:r>
      <w:r>
        <w:rPr>
          <w:rFonts w:ascii="Cambria" w:hAnsi="Cambria"/>
        </w:rPr>
        <w:t xml:space="preserve"> adopté en vertu de cette loi;</w:t>
      </w:r>
    </w:p>
    <w:p w:rsidR="004B4FB2" w:rsidRDefault="004B4FB2" w:rsidP="004B4FB2">
      <w:pPr>
        <w:pStyle w:val="ListParagraph"/>
        <w:numPr>
          <w:ilvl w:val="0"/>
          <w:numId w:val="3"/>
        </w:numPr>
        <w:spacing w:before="200"/>
        <w:ind w:left="567" w:hanging="567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prévenir les gestes d’intimidation, de trafic d’influence ou de corruption;</w:t>
      </w:r>
    </w:p>
    <w:p w:rsidR="004B4FB2" w:rsidRDefault="004B4FB2" w:rsidP="004B4FB2">
      <w:pPr>
        <w:pStyle w:val="ListParagraph"/>
        <w:numPr>
          <w:ilvl w:val="0"/>
          <w:numId w:val="3"/>
        </w:numPr>
        <w:spacing w:before="200"/>
        <w:ind w:left="567" w:hanging="567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prévenir les situations de conflit d’intérêts;</w:t>
      </w:r>
    </w:p>
    <w:p w:rsidR="004B4FB2" w:rsidRDefault="004B4FB2" w:rsidP="004B4FB2">
      <w:pPr>
        <w:pStyle w:val="ListParagraph"/>
        <w:numPr>
          <w:ilvl w:val="0"/>
          <w:numId w:val="3"/>
        </w:numPr>
        <w:spacing w:before="200"/>
        <w:ind w:left="567" w:hanging="567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prévenir toute autre situation susceptible de compromettre l’impartialité et l’objectivité du processus de demande de soumissions et de la gestion du contrat qui en résulte;</w:t>
      </w:r>
    </w:p>
    <w:p w:rsidR="004B4FB2" w:rsidRDefault="004B4FB2" w:rsidP="004B4FB2">
      <w:pPr>
        <w:pStyle w:val="ListParagraph"/>
        <w:numPr>
          <w:ilvl w:val="0"/>
          <w:numId w:val="3"/>
        </w:numPr>
        <w:spacing w:before="200"/>
        <w:ind w:left="567" w:hanging="567"/>
        <w:contextualSpacing/>
        <w:jc w:val="both"/>
        <w:rPr>
          <w:rFonts w:ascii="Cambria" w:hAnsi="Cambria"/>
        </w:rPr>
      </w:pPr>
      <w:r>
        <w:rPr>
          <w:rFonts w:ascii="Cambria" w:hAnsi="Cambria"/>
        </w:rPr>
        <w:t>encadrer la prise de toute décision ayant pour effet d’autoriser la modification d’un contrat;</w:t>
      </w:r>
    </w:p>
    <w:p w:rsidR="004B4FB2" w:rsidRDefault="004B4FB2" w:rsidP="004B4FB2">
      <w:pPr>
        <w:pStyle w:val="ListParagraph"/>
        <w:numPr>
          <w:ilvl w:val="0"/>
          <w:numId w:val="3"/>
        </w:numPr>
        <w:spacing w:before="200"/>
        <w:ind w:left="567" w:hanging="567"/>
        <w:contextualSpacing/>
        <w:jc w:val="both"/>
        <w:rPr>
          <w:rFonts w:ascii="Cambria" w:hAnsi="Cambria" w:cs="Arial"/>
        </w:rPr>
      </w:pPr>
      <w:r>
        <w:rPr>
          <w:rFonts w:ascii="Cambria" w:hAnsi="Cambria"/>
          <w:b/>
        </w:rPr>
        <w:t>favoriser</w:t>
      </w:r>
      <w:r>
        <w:rPr>
          <w:rFonts w:ascii="Cambria" w:hAnsi="Cambria"/>
        </w:rPr>
        <w:t xml:space="preserve">, dans la mesure du possible et selon les critères et principes prévus au règlement, la rotation des éventuels cocontractants à l’égard des contrats qui comportent une dépense de 25 000 $ ou plus, </w:t>
      </w:r>
      <w:r>
        <w:rPr>
          <w:rFonts w:ascii="Cambria" w:hAnsi="Cambria" w:cs="Arial"/>
        </w:rPr>
        <w:t>mais inférieure au</w:t>
      </w:r>
      <w:r>
        <w:rPr>
          <w:rFonts w:ascii="Cambria" w:hAnsi="Cambria"/>
        </w:rPr>
        <w:t xml:space="preserve"> seuil de la dépense d’un contrat qui ne peut être adjugé qu’après une demande de soumissions publique en vertu de l’article 935 </w:t>
      </w:r>
      <w:r>
        <w:rPr>
          <w:rFonts w:ascii="Cambria" w:hAnsi="Cambria"/>
          <w:i/>
        </w:rPr>
        <w:t>C.M.</w:t>
      </w:r>
      <w:r>
        <w:rPr>
          <w:rFonts w:ascii="Cambria" w:hAnsi="Cambria"/>
        </w:rPr>
        <w:t xml:space="preserve"> (ou de l’article 573 </w:t>
      </w:r>
      <w:r>
        <w:rPr>
          <w:rFonts w:ascii="Cambria" w:hAnsi="Cambria"/>
          <w:i/>
        </w:rPr>
        <w:t>L.C.V.</w:t>
      </w:r>
      <w:r>
        <w:rPr>
          <w:rFonts w:ascii="Cambria" w:hAnsi="Cambria"/>
        </w:rPr>
        <w:t>)</w:t>
      </w:r>
    </w:p>
    <w:p w:rsidR="004B4FB2" w:rsidRPr="004B4FB2" w:rsidRDefault="004B4FB2" w:rsidP="004B4FB2">
      <w:pPr>
        <w:pStyle w:val="NoSpacing"/>
        <w:jc w:val="both"/>
        <w:rPr>
          <w:rFonts w:ascii="Cambria" w:hAnsi="Cambria"/>
          <w:sz w:val="24"/>
          <w:szCs w:val="24"/>
        </w:rPr>
      </w:pPr>
    </w:p>
    <w:p w:rsidR="004B4FB2" w:rsidRDefault="004B4FB2" w:rsidP="004B4FB2">
      <w:pPr>
        <w:pStyle w:val="NoSpacing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Ce règlement peut être consulté en cliquant sur le lien ci-après : </w:t>
      </w:r>
    </w:p>
    <w:p w:rsidR="004B4FB2" w:rsidRPr="004B4FB2" w:rsidRDefault="004B4FB2" w:rsidP="004B4FB2">
      <w:pPr>
        <w:pStyle w:val="NoSpacing"/>
        <w:jc w:val="both"/>
        <w:rPr>
          <w:rFonts w:ascii="Cambria" w:hAnsi="Cambria"/>
          <w:b/>
          <w:color w:val="2F5496"/>
          <w:sz w:val="24"/>
          <w:szCs w:val="24"/>
        </w:rPr>
      </w:pPr>
      <w:r w:rsidRPr="004B4FB2">
        <w:rPr>
          <w:rFonts w:ascii="Cambria" w:hAnsi="Cambria"/>
          <w:b/>
          <w:color w:val="2F5496"/>
          <w:sz w:val="24"/>
          <w:szCs w:val="24"/>
        </w:rPr>
        <w:t>www.new-carlisle.ca</w:t>
      </w:r>
    </w:p>
    <w:p w:rsidR="004B4FB2" w:rsidRDefault="004B4FB2" w:rsidP="004B4FB2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Toute personne qui entend contracter avec la Municipalité est invitée à prendre connaissance du Règlement sur la gestion contractuelle et à s’informer auprès du directeur général si elle a des questions à cet égard.</w:t>
      </w:r>
    </w:p>
    <w:p w:rsidR="00833649" w:rsidRPr="004B4FB2" w:rsidRDefault="004B4FB2" w:rsidP="004B4FB2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Par ailleurs, toute personne qui aurait de l’information relativement au non-respect de l’une ou l’autre des mesures y étant contenues est invitée à en faire part au directeur général ou au maire. Ces derniers verront, si cela s’avère nécessaire, à prendre les mesures utiles ou référer la plainte et la documentation aux autorités compétentes.</w:t>
      </w:r>
    </w:p>
    <w:p w:rsidR="00833649" w:rsidRPr="007D0964" w:rsidRDefault="00833649"/>
    <w:p w:rsidR="008B360A" w:rsidRPr="007D0964" w:rsidRDefault="008B360A">
      <w:pPr>
        <w:rPr>
          <w:rFonts w:ascii="Calibri" w:hAnsi="Calibri"/>
          <w:color w:val="0000FF"/>
          <w:sz w:val="22"/>
        </w:rPr>
      </w:pPr>
      <w:bookmarkStart w:id="0" w:name="_GoBack"/>
      <w:bookmarkEnd w:id="0"/>
    </w:p>
    <w:sectPr w:rsidR="008B360A" w:rsidRPr="007D0964" w:rsidSect="00E646AE">
      <w:headerReference w:type="default" r:id="rId7"/>
      <w:footerReference w:type="default" r:id="rId8"/>
      <w:pgSz w:w="12240" w:h="15840"/>
      <w:pgMar w:top="709" w:right="1080" w:bottom="90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0BF" w:rsidRDefault="00E970BF" w:rsidP="004D18DB">
      <w:r>
        <w:separator/>
      </w:r>
    </w:p>
  </w:endnote>
  <w:endnote w:type="continuationSeparator" w:id="0">
    <w:p w:rsidR="00E970BF" w:rsidRDefault="00E970BF" w:rsidP="004D1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 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8DB" w:rsidRDefault="004D18DB" w:rsidP="004D18DB">
    <w:pPr>
      <w:pBdr>
        <w:bottom w:val="single" w:sz="4" w:space="1" w:color="auto"/>
      </w:pBdr>
      <w:rPr>
        <w:color w:val="0000FF"/>
      </w:rPr>
    </w:pPr>
  </w:p>
  <w:p w:rsidR="004D18DB" w:rsidRDefault="004D18DB" w:rsidP="004D18DB">
    <w:pPr>
      <w:jc w:val="center"/>
      <w:rPr>
        <w:rFonts w:ascii="Calibri" w:hAnsi="Calibri"/>
        <w:color w:val="0000FF"/>
        <w:sz w:val="22"/>
        <w:lang w:val="en-US"/>
      </w:rPr>
    </w:pPr>
    <w:r>
      <w:rPr>
        <w:rFonts w:ascii="Calibri" w:hAnsi="Calibri"/>
        <w:color w:val="0000FF"/>
        <w:sz w:val="22"/>
        <w:lang w:val="en-US"/>
      </w:rPr>
      <w:t xml:space="preserve">138 Gérard-D.-Levesque, New </w:t>
    </w:r>
    <w:proofErr w:type="gramStart"/>
    <w:r>
      <w:rPr>
        <w:rFonts w:ascii="Calibri" w:hAnsi="Calibri"/>
        <w:color w:val="0000FF"/>
        <w:sz w:val="22"/>
        <w:lang w:val="en-US"/>
      </w:rPr>
      <w:t>Carlisle  (</w:t>
    </w:r>
    <w:proofErr w:type="gramEnd"/>
    <w:r>
      <w:rPr>
        <w:rFonts w:ascii="Calibri" w:hAnsi="Calibri"/>
        <w:color w:val="0000FF"/>
        <w:sz w:val="22"/>
        <w:lang w:val="en-US"/>
      </w:rPr>
      <w:t xml:space="preserve">QC)  G0C 1Z0  </w:t>
    </w:r>
    <w:r>
      <w:rPr>
        <w:rFonts w:ascii="Calibri" w:hAnsi="Calibri"/>
        <w:color w:val="0000FF"/>
        <w:sz w:val="22"/>
      </w:rPr>
      <w:sym w:font="Zapf Dingbats" w:char="F09A"/>
    </w:r>
    <w:r>
      <w:rPr>
        <w:rFonts w:ascii="Calibri" w:hAnsi="Calibri"/>
        <w:color w:val="0000FF"/>
        <w:sz w:val="22"/>
        <w:lang w:val="en-US"/>
      </w:rPr>
      <w:t xml:space="preserve">  Tel : 418 752-3141 * </w:t>
    </w:r>
    <w:proofErr w:type="spellStart"/>
    <w:r>
      <w:rPr>
        <w:rFonts w:ascii="Calibri" w:hAnsi="Calibri"/>
        <w:color w:val="0000FF"/>
        <w:sz w:val="22"/>
        <w:lang w:val="en-US"/>
      </w:rPr>
      <w:t>Telec</w:t>
    </w:r>
    <w:proofErr w:type="spellEnd"/>
    <w:r>
      <w:rPr>
        <w:rFonts w:ascii="Calibri" w:hAnsi="Calibri"/>
        <w:color w:val="0000FF"/>
        <w:sz w:val="22"/>
        <w:lang w:val="en-US"/>
      </w:rPr>
      <w:t> : 418 752-3140</w:t>
    </w:r>
  </w:p>
  <w:p w:rsidR="004D18DB" w:rsidRPr="004D18DB" w:rsidRDefault="004D18DB" w:rsidP="004D18DB">
    <w:pPr>
      <w:pStyle w:val="Footer"/>
      <w:jc w:val="center"/>
      <w:rPr>
        <w:lang w:val="en-US"/>
      </w:rPr>
    </w:pPr>
    <w:proofErr w:type="spellStart"/>
    <w:proofErr w:type="gramStart"/>
    <w:r>
      <w:rPr>
        <w:rFonts w:ascii="Calibri" w:hAnsi="Calibri"/>
        <w:color w:val="0000FF"/>
        <w:sz w:val="22"/>
        <w:lang w:val="en-US"/>
      </w:rPr>
      <w:t>courriel</w:t>
    </w:r>
    <w:proofErr w:type="spellEnd"/>
    <w:r>
      <w:rPr>
        <w:rFonts w:ascii="Calibri" w:hAnsi="Calibri"/>
        <w:color w:val="0000FF"/>
        <w:sz w:val="22"/>
        <w:lang w:val="en-US"/>
      </w:rPr>
      <w:t xml:space="preserve"> :</w:t>
    </w:r>
    <w:proofErr w:type="gramEnd"/>
    <w:r>
      <w:rPr>
        <w:rFonts w:ascii="Calibri" w:hAnsi="Calibri"/>
        <w:color w:val="0000FF"/>
        <w:sz w:val="22"/>
        <w:lang w:val="en-US"/>
      </w:rPr>
      <w:t xml:space="preserve">  </w:t>
    </w:r>
    <w:hyperlink r:id="rId1" w:history="1">
      <w:r>
        <w:rPr>
          <w:rStyle w:val="Hyperlink"/>
          <w:rFonts w:ascii="Calibri" w:hAnsi="Calibri"/>
          <w:sz w:val="22"/>
          <w:lang w:val="en-US"/>
        </w:rPr>
        <w:t>newcarlisle@globetrotter.net</w:t>
      </w:r>
    </w:hyperlink>
    <w:r>
      <w:rPr>
        <w:rFonts w:ascii="Calibri" w:hAnsi="Calibri"/>
        <w:color w:val="0000FF"/>
        <w:sz w:val="22"/>
        <w:lang w:val="en-US"/>
      </w:rPr>
      <w:t xml:space="preserve">    Web: new-carlisle.ca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0BF" w:rsidRDefault="00E970BF" w:rsidP="004D18DB">
      <w:r>
        <w:separator/>
      </w:r>
    </w:p>
  </w:footnote>
  <w:footnote w:type="continuationSeparator" w:id="0">
    <w:p w:rsidR="00E970BF" w:rsidRDefault="00E970BF" w:rsidP="004D18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8DB" w:rsidRPr="004B4FB2" w:rsidRDefault="00E970BF" w:rsidP="004B4FB2">
    <w:pPr>
      <w:jc w:val="center"/>
      <w:rPr>
        <w:rFonts w:ascii="Cambria" w:hAnsi="Cambria"/>
        <w:noProof/>
        <w:color w:val="0070C0"/>
        <w:sz w:val="44"/>
        <w:szCs w:val="44"/>
      </w:rPr>
    </w:pPr>
    <w:r w:rsidRPr="004B4FB2">
      <w:rPr>
        <w:rFonts w:ascii="Cambria" w:hAnsi="Cambria"/>
        <w:noProof/>
        <w:color w:val="0070C0"/>
        <w:sz w:val="44"/>
        <w:szCs w:val="44"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72.6pt;margin-top:-24.7pt;width:63.6pt;height:73.75pt;z-index:-1;mso-position-horizontal-relative:text;mso-position-vertical-relative:text">
          <v:imagedata r:id="rId1" o:title="Armoiries-new-carlisle"/>
        </v:shape>
      </w:pict>
    </w:r>
    <w:r w:rsidR="004B4FB2" w:rsidRPr="004B4FB2">
      <w:rPr>
        <w:rFonts w:ascii="Cambria" w:hAnsi="Cambria"/>
        <w:noProof/>
        <w:color w:val="0070C0"/>
        <w:sz w:val="44"/>
        <w:szCs w:val="44"/>
      </w:rPr>
      <w:t>GESTION CONTRACTUELLE</w:t>
    </w:r>
  </w:p>
  <w:p w:rsidR="004B4FB2" w:rsidRPr="004B4FB2" w:rsidRDefault="004B4FB2" w:rsidP="004B4FB2">
    <w:pPr>
      <w:jc w:val="center"/>
      <w:rPr>
        <w:rFonts w:ascii="Cambria" w:hAnsi="Cambria"/>
        <w:color w:val="0070C0"/>
        <w:sz w:val="44"/>
        <w:szCs w:val="44"/>
      </w:rPr>
    </w:pPr>
    <w:r w:rsidRPr="004B4FB2">
      <w:rPr>
        <w:rFonts w:ascii="Cambria" w:hAnsi="Cambria"/>
        <w:noProof/>
        <w:color w:val="0070C0"/>
        <w:sz w:val="44"/>
        <w:szCs w:val="44"/>
      </w:rPr>
      <w:t>RÈGLEMENT 2019-386</w:t>
    </w:r>
  </w:p>
  <w:p w:rsidR="004D18DB" w:rsidRDefault="004D18DB">
    <w:pPr>
      <w:pStyle w:val="Header"/>
    </w:pPr>
  </w:p>
  <w:p w:rsidR="004D18DB" w:rsidRDefault="004D18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121CC"/>
    <w:multiLevelType w:val="hybridMultilevel"/>
    <w:tmpl w:val="7BFC114A"/>
    <w:lvl w:ilvl="0" w:tplc="DFE018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54771"/>
    <w:multiLevelType w:val="hybridMultilevel"/>
    <w:tmpl w:val="01C2D7E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76412"/>
    <w:multiLevelType w:val="hybridMultilevel"/>
    <w:tmpl w:val="D94E1AB4"/>
    <w:lvl w:ilvl="0" w:tplc="346C837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oNotTrackMoves/>
  <w:defaultTabStop w:val="720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18DB"/>
    <w:rsid w:val="00034230"/>
    <w:rsid w:val="000A324D"/>
    <w:rsid w:val="000E15B0"/>
    <w:rsid w:val="001E4B16"/>
    <w:rsid w:val="00246753"/>
    <w:rsid w:val="00287F51"/>
    <w:rsid w:val="002E5DB1"/>
    <w:rsid w:val="0031106F"/>
    <w:rsid w:val="004033EC"/>
    <w:rsid w:val="004041F9"/>
    <w:rsid w:val="004B4FB2"/>
    <w:rsid w:val="004D18DB"/>
    <w:rsid w:val="0058176B"/>
    <w:rsid w:val="00591115"/>
    <w:rsid w:val="006A01EA"/>
    <w:rsid w:val="006A5E93"/>
    <w:rsid w:val="006F01F2"/>
    <w:rsid w:val="007A7535"/>
    <w:rsid w:val="007D0964"/>
    <w:rsid w:val="00833649"/>
    <w:rsid w:val="0087182F"/>
    <w:rsid w:val="008B360A"/>
    <w:rsid w:val="00912A76"/>
    <w:rsid w:val="00931287"/>
    <w:rsid w:val="0099456D"/>
    <w:rsid w:val="009A5A7D"/>
    <w:rsid w:val="009D15AD"/>
    <w:rsid w:val="00A0248D"/>
    <w:rsid w:val="00A663F2"/>
    <w:rsid w:val="00A9773E"/>
    <w:rsid w:val="00AF31C6"/>
    <w:rsid w:val="00BC240A"/>
    <w:rsid w:val="00C60732"/>
    <w:rsid w:val="00D236AF"/>
    <w:rsid w:val="00DF77CE"/>
    <w:rsid w:val="00E460F0"/>
    <w:rsid w:val="00E5574C"/>
    <w:rsid w:val="00E646AE"/>
    <w:rsid w:val="00E66C97"/>
    <w:rsid w:val="00E970BF"/>
    <w:rsid w:val="00F0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03A7FFC3-A9DD-4872-8407-F6E96273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alibri" w:hAnsi="Calibri"/>
      <w:color w:val="0000F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18D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4D18D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D18D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D18DB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1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A01EA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A663F2"/>
    <w:pPr>
      <w:ind w:left="708"/>
    </w:pPr>
  </w:style>
  <w:style w:type="character" w:customStyle="1" w:styleId="NoSpacingChar">
    <w:name w:val="No Spacing Char"/>
    <w:link w:val="NoSpacing"/>
    <w:uiPriority w:val="1"/>
    <w:locked/>
    <w:rsid w:val="004B4FB2"/>
  </w:style>
  <w:style w:type="paragraph" w:styleId="NoSpacing">
    <w:name w:val="No Spacing"/>
    <w:basedOn w:val="Normal"/>
    <w:link w:val="NoSpacingChar"/>
    <w:uiPriority w:val="1"/>
    <w:qFormat/>
    <w:rsid w:val="004B4FB2"/>
    <w:rPr>
      <w:sz w:val="20"/>
      <w:szCs w:val="20"/>
      <w:lang w:eastAsia="fr-CA"/>
    </w:rPr>
  </w:style>
  <w:style w:type="character" w:customStyle="1" w:styleId="paragrapheCar">
    <w:name w:val="paragraphe Car"/>
    <w:link w:val="paragraphe"/>
    <w:locked/>
    <w:rsid w:val="004B4FB2"/>
    <w:rPr>
      <w:rFonts w:ascii="Arial" w:hAnsi="Arial"/>
      <w:sz w:val="24"/>
      <w:lang w:val="x-none" w:eastAsia="fr-FR"/>
    </w:rPr>
  </w:style>
  <w:style w:type="paragraph" w:customStyle="1" w:styleId="paragraphe">
    <w:name w:val="paragraphe"/>
    <w:basedOn w:val="Normal"/>
    <w:link w:val="paragrapheCar"/>
    <w:rsid w:val="004B4FB2"/>
    <w:pPr>
      <w:spacing w:before="240"/>
      <w:jc w:val="both"/>
    </w:pPr>
    <w:rPr>
      <w:rFonts w:ascii="Arial" w:hAnsi="Arial"/>
      <w:szCs w:val="20"/>
      <w:lang w:val="x-none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ewcarlisle@globetrotter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Municipalité de</vt:lpstr>
    </vt:vector>
  </TitlesOfParts>
  <Company>Municipalité de New Carlisle</Company>
  <LinksUpToDate>false</LinksUpToDate>
  <CharactersWithSpaces>1913</CharactersWithSpaces>
  <SharedDoc>false</SharedDoc>
  <HLinks>
    <vt:vector size="12" baseType="variant">
      <vt:variant>
        <vt:i4>2424838</vt:i4>
      </vt:variant>
      <vt:variant>
        <vt:i4>0</vt:i4>
      </vt:variant>
      <vt:variant>
        <vt:i4>0</vt:i4>
      </vt:variant>
      <vt:variant>
        <vt:i4>5</vt:i4>
      </vt:variant>
      <vt:variant>
        <vt:lpwstr>mailto:newcarlisle@globetrotter.net</vt:lpwstr>
      </vt:variant>
      <vt:variant>
        <vt:lpwstr/>
      </vt:variant>
      <vt:variant>
        <vt:i4>655372</vt:i4>
      </vt:variant>
      <vt:variant>
        <vt:i4>-1</vt:i4>
      </vt:variant>
      <vt:variant>
        <vt:i4>1026</vt:i4>
      </vt:variant>
      <vt:variant>
        <vt:i4>1</vt:i4>
      </vt:variant>
      <vt:variant>
        <vt:lpwstr>armoirie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Municipalité de</dc:title>
  <dc:subject/>
  <dc:creator>Denise Dallain</dc:creator>
  <cp:keywords/>
  <dc:description/>
  <cp:lastModifiedBy>Municipalite New Carlisle</cp:lastModifiedBy>
  <cp:revision>2</cp:revision>
  <cp:lastPrinted>2019-10-04T21:57:00Z</cp:lastPrinted>
  <dcterms:created xsi:type="dcterms:W3CDTF">2019-11-28T14:47:00Z</dcterms:created>
  <dcterms:modified xsi:type="dcterms:W3CDTF">2019-11-28T14:47:00Z</dcterms:modified>
</cp:coreProperties>
</file>